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Logo AI Gov Pro Schwarz.png"/>
                    <pic:cNvPicPr/>
                  </pic:nvPicPr>
                  <pic:blipFill>
                    <a:blip r:embed="rId11"/>
                    <a:stretch>
                      <a:fillRect/>
                    </a:stretch>
                  </pic:blipFill>
                  <pic:spPr>
                    <a:xfrm>
                      <a:off x="0" y="0"/>
                      <a:ext cx="1097280" cy="1097280"/>
                    </a:xfrm>
                    <a:prstGeom prst="rect"/>
                  </pic:spPr>
                </pic:pic>
              </a:graphicData>
            </a:graphic>
          </wp:inline>
        </w:drawing>
      </w:r>
    </w:p>
    <w:p>
      <w:pPr>
        <w:pStyle w:val="Title"/>
      </w:pPr>
      <w:r>
        <w:t>Richtlinie für KI im Unternehmen</w:t>
      </w:r>
    </w:p>
    <w:p>
      <w:pPr>
        <w:pStyle w:val="Subtitle"/>
      </w:pPr>
      <w:r>
        <w:t>Anpassbare Vorlage für KI im Arbeitsalltag</w:t>
      </w:r>
    </w:p>
    <w:p>
      <w:r>
        <w:t>Legen Sie fest, welche Aufgaben Ihr Team mit KI erledigt, welche Daten geschützt bleiben und wer über neue Anwendungen entscheidet. Ersetzen Sie alle Felder in eckigen Klammern. Stimmen Sie den Text mit IT, Datenschutz, Recht und gegebenenfalls der Interessenvertretung ab. Erst danach setzt die Geschäftsführung ihn in Kraft.</w:t>
      </w:r>
    </w:p>
    <w:tbl>
      <w:tblPr>
        <w:tblW w:type="auto" w:w="0"/>
        <w:jc w:val="center"/>
        <w:tblLayout w:type="fixed"/>
        <w:tblLook w:firstColumn="1" w:firstRow="1" w:lastColumn="0" w:lastRow="0" w:noHBand="0" w:noVBand="1" w:val="04A0"/>
      </w:tblPr>
      <w:tblGrid>
        <w:gridCol w:w="3168"/>
        <w:gridCol w:w="7056"/>
      </w:tblGrid>
      <w:tr>
        <w:trPr>
          <w:cantSplit/>
          <w:tblHeader/>
        </w:trPr>
        <w:tc>
          <w:tcPr>
            <w:tcW w:type="dxa" w:w="3168"/>
            <w:vAlign w:val="center"/>
            <w:shd w:fill="DCEA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sz w:val="20"/>
              </w:rPr>
              <w:t>Feld</w:t>
            </w:r>
          </w:p>
        </w:tc>
        <w:tc>
          <w:tcPr>
            <w:tcW w:type="dxa" w:w="7056"/>
            <w:vAlign w:val="center"/>
            <w:shd w:fill="DCEA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sz w:val="20"/>
              </w:rPr>
              <w:t>Ihre Angaben</w:t>
            </w:r>
          </w:p>
        </w:tc>
      </w:tr>
      <w:tr>
        <w:trPr>
          <w:cantSplit/>
        </w:trPr>
        <w:tc>
          <w:tcPr>
            <w:tcW w:type="dxa" w:w="316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Unternehmen und Bereich</w:t>
            </w:r>
          </w:p>
        </w:tc>
        <w:tc>
          <w:tcPr>
            <w:tcW w:type="dxa" w:w="70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[Name und Geltungsbereich]</w:t>
            </w:r>
          </w:p>
        </w:tc>
      </w:tr>
      <w:tr>
        <w:trPr>
          <w:cantSplit/>
        </w:trPr>
        <w:tc>
          <w:tcPr>
            <w:tcW w:type="dxa" w:w="316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Verantwortlich und Vertretung</w:t>
            </w:r>
          </w:p>
        </w:tc>
        <w:tc>
          <w:tcPr>
            <w:tcW w:type="dxa" w:w="70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[Name, Rolle und Kontakt]</w:t>
            </w:r>
          </w:p>
        </w:tc>
      </w:tr>
      <w:tr>
        <w:trPr>
          <w:cantSplit/>
        </w:trPr>
        <w:tc>
          <w:tcPr>
            <w:tcW w:type="dxa" w:w="316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Beschlossen durch</w:t>
            </w:r>
          </w:p>
        </w:tc>
        <w:tc>
          <w:tcPr>
            <w:tcW w:type="dxa" w:w="70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[Geschäftsführung, Name und Datum]</w:t>
            </w:r>
          </w:p>
        </w:tc>
      </w:tr>
      <w:tr>
        <w:trPr>
          <w:cantSplit/>
        </w:trPr>
        <w:tc>
          <w:tcPr>
            <w:tcW w:type="dxa" w:w="316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Gültig ab und Version</w:t>
            </w:r>
          </w:p>
        </w:tc>
        <w:tc>
          <w:tcPr>
            <w:tcW w:type="dxa" w:w="70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[Datum und Versionsnummer]</w:t>
            </w:r>
          </w:p>
        </w:tc>
      </w:tr>
      <w:tr>
        <w:trPr>
          <w:cantSplit/>
        </w:trPr>
        <w:tc>
          <w:tcPr>
            <w:tcW w:type="dxa" w:w="316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Nächster Prüftermin</w:t>
            </w:r>
          </w:p>
        </w:tc>
        <w:tc>
          <w:tcPr>
            <w:tcW w:type="dxa" w:w="70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[Datum]</w:t>
            </w:r>
          </w:p>
        </w:tc>
      </w:tr>
      <w:tr>
        <w:trPr>
          <w:cantSplit/>
        </w:trPr>
        <w:tc>
          <w:tcPr>
            <w:tcW w:type="dxa" w:w="316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Toolliste und Meldeweg</w:t>
            </w:r>
          </w:p>
        </w:tc>
        <w:tc>
          <w:tcPr>
            <w:tcW w:type="dxa" w:w="70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[Interner Link und Kontakt]</w:t>
            </w:r>
          </w:p>
        </w:tc>
      </w:tr>
    </w:tbl>
    <w:p>
      <w:pPr>
        <w:pStyle w:val="Heading2"/>
      </w:pPr>
      <w:r>
        <w:t>Was Sie vor dem Start prüfen</w:t>
      </w:r>
    </w:p>
    <w:p>
      <w:r>
        <w:t>Die Vorlage ist ein organisatorisches Muster. Sie ersetzt keine Prüfung Ihres Einzelfalls und deckt besondere Pflichten, etwa für Hochrisiko-KI oder einzelne Branchen, nicht vollständig ab. Prüfen Sie vor dem Beschluss die aktuelle Rechtslage und Ihre Verträge.</w:t>
      </w:r>
    </w:p>
    <w:p>
      <w:r>
        <w:t>Vorlage von AI Governance Pro · Inhaber Ekkehard Schmider</w:t>
        <w:br/>
        <w:t>Am Neubruch 10 · 82284 Grafrath · Deutschland</w:t>
        <w:br/>
        <w:t>+49 162 8324799 · es@ai-governance.pro · ai-governance.pro</w:t>
        <w:br/>
        <w:t>USt-ID DE458255558</w:t>
      </w:r>
    </w:p>
    <w:p>
      <w:r>
        <w:br w:type="page"/>
      </w:r>
    </w:p>
    <w:p>
      <w:pPr>
        <w:pStyle w:val="Heading1"/>
      </w:pPr>
      <w:r>
        <w:t>Regeln für den Arbeitsalltag</w:t>
      </w:r>
    </w:p>
    <w:p>
      <w:pPr>
        <w:pStyle w:val="Heading2"/>
      </w:pPr>
      <w:r>
        <w:t>1 Für wen die Regeln gelten</w:t>
      </w:r>
    </w:p>
    <w:p>
      <w:r>
        <w:t>Die Regeln gelten für [Bereiche und Personengruppen]. Sie erfassen Chatbots, Office-Assistenten, Bildgeneratoren, KI-Funktionen in Fachsoftware und Agenten. Externe Dienstleister beachten die Vorgaben, die [zuständige Rolle] mit ihnen vereinbart. Für private Aufgaben außerhalb der Arbeit gilt [Abgrenzung].</w:t>
      </w:r>
    </w:p>
    <w:p>
      <w:pPr>
        <w:pStyle w:val="Heading2"/>
      </w:pPr>
      <w:r>
        <w:t>2 Welche Werkzeuge Sie verwenden</w:t>
      </w:r>
    </w:p>
    <w:p>
      <w:r>
        <w:t>Arbeiten Sie nur mit Anwendungen aus der internen Toolliste [Link]. Jeder Eintrag nennt Produkt, Kontoart, Zweck, erlaubte Daten und Grenzen. Ein privates Konto ersetzt kein Firmenkonto. Ein anderer Tarif, neue Schnittstellen oder zusätzliche Funktionen brauchen eine erneute Prüfung. Melden Sie auch Werkzeuge, die im Team schon im Einsatz sind.</w:t>
      </w:r>
    </w:p>
    <w:p>
      <w:pPr>
        <w:pStyle w:val="Heading2"/>
      </w:pPr>
      <w:r>
        <w:t>3 Welche Daten Sie eingeben</w:t>
      </w:r>
    </w:p>
    <w:p>
      <w:r>
        <w:t>Prüfen Sie vor jeder Eingabe, ob Tool, Zweck und Daten zusammenpassen. Geben Sie nur Informationen ein, die Sie für die Aufgabe brauchen. Übertragen Sie interne Unterlagen nur, wenn die Toolliste genau diesen Zweck und diese Daten erlaubt. Personenbezogene oder besonders vertrauliche Inhalte bleiben gesperrt, bis [zuständige Rolle] den Einzelfall dokumentiert freigibt. Passwörter, Zugangsschlüssel und andere Geheimnisse gehören nicht in Eingaben oder Anhänge. Entfernte Namen allein machen Daten nicht anonym.</w:t>
      </w:r>
    </w:p>
    <w:p>
      <w:pPr>
        <w:pStyle w:val="Heading2"/>
      </w:pPr>
      <w:r>
        <w:t>4 Wie Sie Ergebnisse prüfen</w:t>
      </w:r>
    </w:p>
    <w:p>
      <w:r>
        <w:t>Prüfen Sie Fakten, Zahlen, Quellen und Rechte, bevor Sie ein Ergebnis weitergeben. Vergleichen Sie Quellen mit dem Original. Für Aussagen zu Recht, Personal, Gesundheit, Finanzen oder Sicherheit prüft [zuständige Fachrolle] den Inhalt. Fehlt eine verlässliche Grundlage, stoppen Sie die Aufgabe und fragen [Kontakt]. Sie verantworten, was Sie übernehmen oder versenden.</w:t>
      </w:r>
    </w:p>
    <w:p>
      <w:pPr>
        <w:pStyle w:val="Heading2"/>
      </w:pPr>
      <w:r>
        <w:t>5 Wo Sie zuerst eine Entscheidung brauchen</w:t>
      </w:r>
    </w:p>
    <w:p>
      <w:r>
        <w:t>Starten Sie keine automatisierte Auswahl oder Bewertung von Menschen ohne gesonderte fachliche und rechtliche Prüfung. Das gilt etwa für Bewerbungen und Personalentscheidungen. Lassen Sie Agenten nur innerhalb der schriftlich erlaubten Aufgaben und Zugriffsrechte handeln. Für externe Nachrichten, Bestellungen oder Änderungen an Daten gilt [menschlicher Freigabeschritt]. Gesetzlich verbotene Praktiken bleiben verboten; eine interne Zusage hebt das Verbot nicht auf.</w:t>
      </w:r>
    </w:p>
    <w:p>
      <w:r>
        <w:br w:type="page"/>
      </w:r>
    </w:p>
    <w:p>
      <w:pPr>
        <w:pStyle w:val="Heading1"/>
      </w:pPr>
      <w:r>
        <w:t>Menschen und Abläufe</w:t>
      </w:r>
    </w:p>
    <w:p>
      <w:pPr>
        <w:pStyle w:val="Heading2"/>
      </w:pPr>
      <w:r>
        <w:t>6 Wie Sie KI kenntlich machen</w:t>
      </w:r>
    </w:p>
    <w:p>
      <w:r>
        <w:t>Für Kundenkontakte, Veröffentlichungen und andere externe Inhalte legt [zuständige Rolle] vor dem Start fest, wann und wie Sie auf KI hinweisen. Beachten Sie dabei die Regeln für den konkreten Anwendungsfall. Halten Sie intern fest, wo KI einen wesentlichen Beitrag leistet, wer das Ergebnis prüft und wer es freigibt. Bewahren Sie dabei nur erforderliche Angaben auf.</w:t>
      </w:r>
    </w:p>
    <w:p>
      <w:pPr>
        <w:pStyle w:val="Heading2"/>
      </w:pPr>
      <w:r>
        <w:t>7 Wie Sie Probleme melden</w:t>
      </w:r>
    </w:p>
    <w:p>
      <w:r>
        <w:t>Stoppen Sie die betroffene Aufgabe bei falschen Ergebnissen, unerwarteten Zugriffen oder wenn Daten an die falsche Stelle gelangen. Melden Sie den Vorfall unverzüglich an [Kontakt und Ersatzkontakt]. Nennen Sie Zeitpunkt, Tool und Art der betroffenen Daten, ohne vertrauliche Inhalte erneut zu verteilen. Folgen Sie dem internen Notfallweg [Link]. IT, Datenschutz und die zuständige Leitung entscheiden über weitere Schritte und etwaige gesetzliche Meldungen.</w:t>
      </w:r>
    </w:p>
    <w:p>
      <w:pPr>
        <w:pStyle w:val="Heading2"/>
      </w:pPr>
      <w:r>
        <w:t>8 Wie Ihr Team die Regeln lernt</w:t>
      </w:r>
    </w:p>
    <w:p>
      <w:r>
        <w:t>[Verantwortliche Rolle] erklärt die Regeln anhand typischer Aufgaben aus Ihrem Bereich. Üben Sie, Fehler zu erkennen, Quellen zu prüfen und geschützte Daten auszusparen. Dokumentieren Sie Datum, Inhalte und Personenkreis der Schulungen. Neue Mitarbeitende erhalten die Einweisung, bevor sie die freigegebenen Anwendungen einsetzen.</w:t>
      </w:r>
    </w:p>
    <w:p>
      <w:pPr>
        <w:pStyle w:val="Heading2"/>
      </w:pPr>
      <w:r>
        <w:t>9 Wann Sie die Regeln anpassen</w:t>
      </w:r>
    </w:p>
    <w:p>
      <w:r>
        <w:t>[Verantwortliche Rolle] prüft die Richtlinie spätestens am [Datum]. Neue Produkte, andere Daten, Vorfälle oder rechtliche Änderungen lösen eine frühere Prüfung aus. Halten Sie Änderungen und Beschlüsse fest. Informieren Sie alle betroffenen Mitarbeitenden und tauschen Sie alte Fassungen am zentralen Ablageort aus.</w:t>
      </w:r>
    </w:p>
    <w:p>
      <w:pPr>
        <w:pStyle w:val="Heading2"/>
      </w:pPr>
      <w:r>
        <w:t>Was Ihre interne Ampel bedeutet</w:t>
      </w:r>
    </w:p>
    <w:p>
      <w:r>
        <w:t>Eine interne Ampel beschreibt nur Ihren Arbeitsstatus: Grün heißt im dokumentierten Umfang erlaubt, Gelb heißt vorerst stoppen und offene Punkte klären, Rot heißt intern untersagt. Die Farben bilden keine Risikokategorien des EU AI Act ab. Grün ersetzt weder die rechtliche Prüfung noch eine nötige Konformitätsbewertung.</w:t>
      </w:r>
    </w:p>
    <w:p>
      <w:r>
        <w:br w:type="page"/>
      </w:r>
    </w:p>
    <w:p>
      <w:pPr>
        <w:pStyle w:val="Heading1"/>
      </w:pPr>
      <w:r>
        <w:t>Daten am Beispiel prüfen</w:t>
      </w:r>
    </w:p>
    <w:p>
      <w:r>
        <w:t>Die Beispiele sind fiktiv. Sie ersetzen keine Prüfung Ihrer Produkte, Verträge und Einstellungen. Ergänzen Sie Fälle aus Ihrem Arbeitsalltag.</w:t>
      </w:r>
    </w:p>
    <w:tbl>
      <w:tblPr>
        <w:tblW w:type="auto" w:w="0"/>
        <w:jc w:val="center"/>
        <w:tblLayout w:type="fixed"/>
        <w:tblLook w:firstColumn="1" w:firstRow="1" w:lastColumn="0" w:lastRow="0" w:noHBand="0" w:noVBand="1" w:val="04A0"/>
      </w:tblPr>
      <w:tblGrid>
        <w:gridCol w:w="1584"/>
        <w:gridCol w:w="3312"/>
        <w:gridCol w:w="5328"/>
      </w:tblGrid>
      <w:tr>
        <w:trPr>
          <w:cantSplit/>
          <w:tblHeader/>
        </w:trPr>
        <w:tc>
          <w:tcPr>
            <w:tcW w:type="dxa" w:w="1584"/>
            <w:vAlign w:val="center"/>
            <w:shd w:fill="DCEA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sz w:val="20"/>
              </w:rPr>
              <w:t>Daten</w:t>
            </w:r>
          </w:p>
        </w:tc>
        <w:tc>
          <w:tcPr>
            <w:tcW w:type="dxa" w:w="3312"/>
            <w:vAlign w:val="center"/>
            <w:shd w:fill="DCEA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sz w:val="20"/>
              </w:rPr>
              <w:t>Beispiel</w:t>
            </w:r>
          </w:p>
        </w:tc>
        <w:tc>
          <w:tcPr>
            <w:tcW w:type="dxa" w:w="5328"/>
            <w:vAlign w:val="center"/>
            <w:shd w:fill="DCEA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sz w:val="20"/>
              </w:rPr>
              <w:t>Was Sie tun</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Öffentlich</w:t>
            </w:r>
          </w:p>
        </w:tc>
        <w:tc>
          <w:tcPr>
            <w:tcW w:type="dxa" w:w="331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Eine veröffentlichte Produktbeschreibung in einem freigegebenen ChatGPT-Firmenkonto kürzen</w:t>
            </w:r>
          </w:p>
        </w:tc>
        <w:tc>
          <w:tcPr>
            <w:tcW w:type="dxa" w:w="532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Prüfen Sie Nutzungsrechte, Angaben und die erlaubte Kontoart. Öffentlich bedeutet nicht automatisch frei von Personenbezug oder Rechten Dritter.</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Intern</w:t>
            </w:r>
          </w:p>
        </w:tc>
        <w:tc>
          <w:tcPr>
            <w:tcW w:type="dxa" w:w="331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Ein internes Handbuch mit Microsoft Copilot zusammenfassen</w:t>
            </w:r>
          </w:p>
        </w:tc>
        <w:tc>
          <w:tcPr>
            <w:tcW w:type="dxa" w:w="532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Prüfen Sie die konkrete Variante, Zugriffsrechte und erlaubten Daten. Der Produktname allein belegt keine interne Freigabe.</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Sensibel oder vertraulich</w:t>
            </w:r>
          </w:p>
        </w:tc>
        <w:tc>
          <w:tcPr>
            <w:tcW w:type="dxa" w:w="331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Bewerbungen, Gesundheitsangaben oder vertrauliche Verträge auswerten</w:t>
            </w:r>
          </w:p>
        </w:tc>
        <w:tc>
          <w:tcPr>
            <w:tcW w:type="dxa" w:w="532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Starten Sie erst nach einer gesonderten Prüfung. Klären Sie Zweck, Rechtsgrundlage, Schutzmaßnahmen und nötige Verträge mit den Fachleuten.</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Zugangsdaten</w:t>
            </w:r>
          </w:p>
        </w:tc>
        <w:tc>
          <w:tcPr>
            <w:tcW w:type="dxa" w:w="331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Passwörter oder API-Schlüssel in einen Chat kopieren</w:t>
            </w:r>
          </w:p>
        </w:tc>
        <w:tc>
          <w:tcPr>
            <w:tcW w:type="dxa" w:w="532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Unterlassen Sie die Eingabe. Verwenden Sie dafür die vorgesehenen Systeme zum Verwalten von Geheimnissen.</w:t>
            </w:r>
          </w:p>
        </w:tc>
      </w:tr>
    </w:tbl>
    <w:p>
      <w:pPr>
        <w:pStyle w:val="Heading2"/>
      </w:pPr>
      <w:r>
        <w:t>Prüfen Sie die Vorlage mit Ihrem Team</w:t>
      </w:r>
    </w:p>
    <w:p>
      <w:pPr>
        <w:pStyle w:val="ListBullet"/>
      </w:pPr>
      <w:r>
        <w:t>Wählen Sie drei typische Aufgaben aus Ihrem Bereich.</w:t>
      </w:r>
    </w:p>
    <w:p>
      <w:pPr>
        <w:pStyle w:val="ListBullet"/>
      </w:pPr>
      <w:r>
        <w:t>Lassen Sie Mitarbeitende passende Regeln und Kontakte finden.</w:t>
      </w:r>
    </w:p>
    <w:p>
      <w:pPr>
        <w:pStyle w:val="ListBullet"/>
      </w:pPr>
      <w:r>
        <w:t>Klären Sie Stellen, an denen zwei Personen unterschiedlich entscheiden.</w:t>
      </w:r>
    </w:p>
    <w:p>
      <w:pPr>
        <w:pStyle w:val="ListBullet"/>
      </w:pPr>
      <w:r>
        <w:t>Ersetzen Sie alle Platzhalter und tragen Sie den Beschluss ein.</w:t>
      </w:r>
    </w:p>
    <w:p>
      <w:pPr>
        <w:pStyle w:val="ListBullet"/>
      </w:pPr>
      <w:r>
        <w:t>Verlinken Sie die gültige Fassung dort, wo Ihr Team täglich arbeitet.</w:t>
      </w:r>
    </w:p>
    <w:p>
      <w:r>
        <w:br w:type="page"/>
      </w:r>
    </w:p>
    <w:p>
      <w:pPr>
        <w:pStyle w:val="Heading1"/>
      </w:pPr>
      <w:r>
        <w:t>Neue Tools und Zwecke freigeben</w:t>
      </w:r>
    </w:p>
    <w:tbl>
      <w:tblPr>
        <w:tblW w:type="auto" w:w="0"/>
        <w:jc w:val="center"/>
        <w:tblLayout w:type="fixed"/>
        <w:tblLook w:firstColumn="1" w:firstRow="1" w:lastColumn="0" w:lastRow="0" w:noHBand="0" w:noVBand="1" w:val="04A0"/>
      </w:tblPr>
      <w:tblGrid>
        <w:gridCol w:w="1584"/>
        <w:gridCol w:w="2592"/>
        <w:gridCol w:w="6048"/>
      </w:tblGrid>
      <w:tr>
        <w:trPr>
          <w:cantSplit/>
          <w:tblHeader/>
        </w:trPr>
        <w:tc>
          <w:tcPr>
            <w:tcW w:type="dxa" w:w="1584"/>
            <w:vAlign w:val="center"/>
            <w:shd w:fill="DCEA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sz w:val="20"/>
              </w:rPr>
              <w:t>Schritt</w:t>
            </w:r>
          </w:p>
        </w:tc>
        <w:tc>
          <w:tcPr>
            <w:tcW w:type="dxa" w:w="2592"/>
            <w:vAlign w:val="center"/>
            <w:shd w:fill="DCEA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sz w:val="20"/>
              </w:rPr>
              <w:t>Wer handelt</w:t>
            </w:r>
          </w:p>
        </w:tc>
        <w:tc>
          <w:tcPr>
            <w:tcW w:type="dxa" w:w="6048"/>
            <w:vAlign w:val="center"/>
            <w:shd w:fill="DCEAF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sz w:val="20"/>
              </w:rPr>
              <w:t>Was vorliegen muss</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Melden</w:t>
            </w:r>
          </w:p>
        </w:tc>
        <w:tc>
          <w:tcPr>
            <w:tcW w:type="dxa" w:w="259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Fachbereich</w:t>
            </w:r>
          </w:p>
        </w:tc>
        <w:tc>
          <w:tcPr>
            <w:tcW w:type="dxa" w:w="604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Nennen Sie Produkt, Tarif, Kontoart, Zweck, Datenarten, Zugriffe und internen Ansprechpartner. Ergebnis: vollständiger Antrag unter [Link].</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Prüfen</w:t>
            </w:r>
          </w:p>
        </w:tc>
        <w:tc>
          <w:tcPr>
            <w:tcW w:type="dxa" w:w="259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IT und zuständige Fachleute</w:t>
            </w:r>
          </w:p>
        </w:tc>
        <w:tc>
          <w:tcPr>
            <w:tcW w:type="dxa" w:w="604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Prüfen Sie Sicherheit, Datenschutz, Rechte, Verträge und Pflichten. Binden Sie Recht und Interessenvertretung ein, soweit erforderlich. Ergebnis: Prüfbefund mit offenen Punkten.</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Entscheiden</w:t>
            </w:r>
          </w:p>
        </w:tc>
        <w:tc>
          <w:tcPr>
            <w:tcW w:type="dxa" w:w="259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[Benannte Person mit Mandat]</w:t>
            </w:r>
          </w:p>
        </w:tc>
        <w:tc>
          <w:tcPr>
            <w:tcW w:type="dxa" w:w="604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Erlauben Sie den konkreten Zweck mit Grenzen, fordern Sie Nacharbeit oder lehnen Sie ihn ab. Ergebnis: Beschluss mit Bedingungen und Prüftermin.</w:t>
            </w:r>
          </w:p>
        </w:tc>
      </w:tr>
      <w:tr>
        <w:trPr>
          <w:cantSplit/>
        </w:trPr>
        <w:tc>
          <w:tcPr>
            <w:tcW w:type="dxa" w:w="15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Dokumentieren</w:t>
            </w:r>
          </w:p>
        </w:tc>
        <w:tc>
          <w:tcPr>
            <w:tcW w:type="dxa" w:w="259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[Person für Toolliste]</w:t>
            </w:r>
          </w:p>
        </w:tc>
        <w:tc>
          <w:tcPr>
            <w:tcW w:type="dxa" w:w="604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pPr>
            <w:r>
              <w:rPr>
                <w:b w:val="0"/>
                <w:sz w:val="20"/>
              </w:rPr>
              <w:t>Aktualisieren Sie Inventar und Toolliste. Verlinken Sie den Beschluss und informieren Sie das Team. Ergebnis: nachvollziehbarer Eintrag, bevor der Einsatz beginnt.</w:t>
            </w:r>
          </w:p>
        </w:tc>
      </w:tr>
    </w:tbl>
    <w:p>
      <w:pPr>
        <w:spacing w:before="200"/>
      </w:pPr>
      <w:r>
        <w:t>Die zuständige Person bestätigt den Eingang innerhalb von [Anzahl] Arbeitstagen und nennt den nächsten Schritt. Schweigen gilt nicht als Zustimmung. Solange die Entscheidung fehlt, bleibt der neue Einsatz gesperrt.</w:t>
      </w:r>
    </w:p>
    <w:p>
      <w:pPr>
        <w:pStyle w:val="Heading2"/>
      </w:pPr>
      <w:r>
        <w:t>Welche Quellen Sie zusätzlich prüfen</w:t>
      </w:r>
    </w:p>
    <w:p>
      <w:r>
        <w:t>Artikel 4 des EU AI Act verlangt Maßnahmen, die KI-Kompetenz fördern. Der konkrete Kontext und die Vorkenntnisse zählen. Eine Richtlinie allein belegt nicht, dass alle Pflichten erfüllt sind. Artikel 50 betrifft bestimmte Fälle, in denen Menschen über KI informiert werden müssen. Prüfen Sie für Ihren Einsatz Rolle, Zweck, Ausnahmen und Fristen.</w:t>
      </w:r>
    </w:p>
    <w:p>
      <w:r>
        <w:t>AI Act, konsolidierte Fassung vom 27.07.2026, insbesondere Artikel 4 und 50:</w:t>
        <w:br/>
        <w:t>https://eur-lex.europa.eu/eli/reg/2024/1689/2026-07-27/eng</w:t>
      </w:r>
    </w:p>
    <w:p>
      <w:r>
        <w:t>EU-Kommission, Fragen und Antworten zur KI-Kompetenz:</w:t>
        <w:br/>
        <w:t>https://digital-strategy.ec.europa.eu/en/faqs/ai-literacy-questions-answers</w:t>
      </w:r>
    </w:p>
    <w:p>
      <w:r>
        <w:t>Datenschutzkonferenz, Orientierungshilfe zu KI und Datenschutz vom 06.05.2024:</w:t>
        <w:br/>
        <w:t>https://www.datenschutzkonferenz-online.de/media/oh/20240506_DSK_Orientierungshilfe_KI_und_Datenschutz.pdf</w:t>
      </w:r>
    </w:p>
    <w:p>
      <w:r>
        <w:t>Quellen geprüft am 7. Oktober 2026. Beziehen Sie beim konkreten Beschluss Ihre Fachleute ein. Die Vorlage bescheinigt keine Rechtskonformität.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Version 1.0 · 07.10.2026 · ai-governance.pro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AI Governance Pro · Vorlage für Ihr Team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 Richtlinie für Ihr Unternehmen</dc:title>
  <dc:subject>Anpassbare Vorlage für KI im Arbeitsalltag</dc:subject>
  <dc:creator>Ekkehard Schmider · AI Governance Pro</dc:creator>
  <cp:keywords/>
  <dc:description>generated by python-docx</dc:description>
  <cp:lastModifiedBy/>
  <cp:revision>1</cp:revision>
  <dcterms:created xsi:type="dcterms:W3CDTF">2013-12-23T23:15:00Z</dcterms:created>
  <dcterms:modified xsi:type="dcterms:W3CDTF">2013-12-23T23:15:00Z</dcterms:modified>
  <cp:category/>
</cp:coreProperties>
</file>